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362FCF" w:rsidRPr="00C62AF0" w:rsidTr="0014542E">
        <w:trPr>
          <w:trHeight w:val="567"/>
        </w:trPr>
        <w:tc>
          <w:tcPr>
            <w:tcW w:w="1545" w:type="dxa"/>
          </w:tcPr>
          <w:p w:rsidR="00362FCF" w:rsidRPr="00C62AF0" w:rsidRDefault="00362FCF" w:rsidP="001454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362FCF" w:rsidRPr="00A23E76" w:rsidRDefault="00EC44FB" w:rsidP="0014542E">
            <w:pPr>
              <w:jc w:val="center"/>
              <w:rPr>
                <w:b/>
                <w:sz w:val="28"/>
                <w:szCs w:val="28"/>
              </w:rPr>
            </w:pPr>
            <w:r w:rsidRPr="00731EAA">
              <w:rPr>
                <w:b/>
                <w:sz w:val="28"/>
                <w:szCs w:val="28"/>
              </w:rPr>
              <w:t>Měření intenzity záření zemského pozadí</w:t>
            </w:r>
          </w:p>
        </w:tc>
        <w:tc>
          <w:tcPr>
            <w:tcW w:w="1984" w:type="dxa"/>
          </w:tcPr>
          <w:p w:rsidR="00362FCF" w:rsidRPr="00C62AF0" w:rsidRDefault="00362FCF" w:rsidP="0014542E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362FCF" w:rsidRPr="00C62AF0" w:rsidTr="0014542E">
        <w:trPr>
          <w:trHeight w:val="567"/>
        </w:trPr>
        <w:tc>
          <w:tcPr>
            <w:tcW w:w="1545" w:type="dxa"/>
          </w:tcPr>
          <w:p w:rsidR="00362FCF" w:rsidRPr="00C62AF0" w:rsidRDefault="00362FCF" w:rsidP="0014542E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362FCF" w:rsidRPr="00C62AF0" w:rsidRDefault="00362FCF" w:rsidP="0014542E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362FCF" w:rsidRPr="00C62AF0" w:rsidRDefault="00362FCF" w:rsidP="0014542E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362FCF" w:rsidRPr="00C62AF0" w:rsidTr="0014542E">
        <w:trPr>
          <w:cantSplit/>
          <w:trHeight w:val="567"/>
        </w:trPr>
        <w:tc>
          <w:tcPr>
            <w:tcW w:w="8349" w:type="dxa"/>
            <w:gridSpan w:val="2"/>
          </w:tcPr>
          <w:p w:rsidR="00362FCF" w:rsidRPr="00C62AF0" w:rsidRDefault="00362FCF" w:rsidP="0014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362FCF" w:rsidRPr="00C62AF0" w:rsidRDefault="00362FCF" w:rsidP="0014542E">
            <w:pPr>
              <w:rPr>
                <w:sz w:val="20"/>
                <w:szCs w:val="20"/>
              </w:rPr>
            </w:pPr>
          </w:p>
        </w:tc>
      </w:tr>
    </w:tbl>
    <w:p w:rsidR="00362FCF" w:rsidRDefault="00362FCF" w:rsidP="00362FCF">
      <w:pPr>
        <w:pStyle w:val="vodnstrana-tabulka"/>
        <w:spacing w:before="0" w:after="0"/>
        <w:rPr>
          <w:b/>
        </w:rPr>
      </w:pPr>
    </w:p>
    <w:p w:rsidR="00362FCF" w:rsidRPr="006371BC" w:rsidRDefault="00362FCF" w:rsidP="00362FCF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LabQuest, </w:t>
      </w:r>
      <w:r w:rsidR="00EC44FB">
        <w:rPr>
          <w:lang w:eastAsia="cs-CZ"/>
        </w:rPr>
        <w:t>detektor záření</w:t>
      </w:r>
    </w:p>
    <w:p w:rsidR="00362FCF" w:rsidRPr="006371BC" w:rsidRDefault="00362FCF" w:rsidP="00362FCF">
      <w:pPr>
        <w:rPr>
          <w:color w:val="000000"/>
          <w:szCs w:val="20"/>
        </w:rPr>
      </w:pPr>
    </w:p>
    <w:p w:rsidR="00362FCF" w:rsidRDefault="00362FCF" w:rsidP="00362FCF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851C2E" w:rsidRDefault="00362FCF" w:rsidP="00851C2E">
      <w:pPr>
        <w:rPr>
          <w:color w:val="000000"/>
          <w:szCs w:val="20"/>
        </w:rPr>
      </w:pPr>
      <w:r>
        <w:rPr>
          <w:color w:val="000000"/>
          <w:szCs w:val="20"/>
        </w:rPr>
        <w:t xml:space="preserve">1) </w:t>
      </w:r>
      <w:r w:rsidR="00851C2E">
        <w:rPr>
          <w:color w:val="000000"/>
          <w:szCs w:val="20"/>
        </w:rPr>
        <w:t>Uveď čtyři primární radionuklidy:</w:t>
      </w:r>
    </w:p>
    <w:p w:rsidR="00851C2E" w:rsidRDefault="00851C2E" w:rsidP="00851C2E">
      <w:pPr>
        <w:rPr>
          <w:color w:val="000000"/>
          <w:szCs w:val="20"/>
        </w:rPr>
      </w:pPr>
    </w:p>
    <w:p w:rsidR="00EC44FB" w:rsidRDefault="00205771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 xml:space="preserve">2) </w:t>
      </w:r>
      <w:r w:rsidR="00851C2E">
        <w:rPr>
          <w:color w:val="000000"/>
          <w:szCs w:val="20"/>
        </w:rPr>
        <w:t>Na jaké záření detektor reaguje:</w:t>
      </w:r>
    </w:p>
    <w:p w:rsidR="00851C2E" w:rsidRDefault="00851C2E" w:rsidP="00851C2E"/>
    <w:p w:rsidR="00851C2E" w:rsidRDefault="00851C2E" w:rsidP="00851C2E">
      <w:r>
        <w:t>3) Při záření α vyletuje z jádra částice:</w:t>
      </w:r>
    </w:p>
    <w:p w:rsidR="00851C2E" w:rsidRDefault="00851C2E" w:rsidP="00851C2E"/>
    <w:p w:rsidR="00851C2E" w:rsidRDefault="00851C2E" w:rsidP="00851C2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1.45pt;margin-top:8.1pt;width:160pt;height:28.5pt;z-index:251657728">
            <v:imagedata r:id="rId7" o:title=""/>
          </v:shape>
          <o:OLEObject Type="Embed" ProgID="Equation.3" ShapeID="_x0000_s1027" DrawAspect="Content" ObjectID="_1770019962" r:id="rId8"/>
        </w:object>
      </w:r>
    </w:p>
    <w:p w:rsidR="00851C2E" w:rsidRDefault="00851C2E" w:rsidP="00851C2E">
      <w:r>
        <w:t xml:space="preserve">Doplň rovnici: </w:t>
      </w:r>
    </w:p>
    <w:p w:rsidR="00851C2E" w:rsidRDefault="00851C2E" w:rsidP="00851C2E"/>
    <w:p w:rsidR="00851C2E" w:rsidRDefault="00851C2E" w:rsidP="00851C2E"/>
    <w:p w:rsidR="00851C2E" w:rsidRDefault="00851C2E" w:rsidP="00851C2E">
      <w:r>
        <w:t>4)  Při záření β</w:t>
      </w:r>
      <w:r>
        <w:rPr>
          <w:vertAlign w:val="superscript"/>
        </w:rPr>
        <w:t>-</w:t>
      </w:r>
      <w:r>
        <w:t xml:space="preserve"> vyletuje z jádra částice:</w:t>
      </w:r>
    </w:p>
    <w:p w:rsidR="00851C2E" w:rsidRDefault="00851C2E" w:rsidP="00851C2E"/>
    <w:p w:rsidR="00851C2E" w:rsidRDefault="00851C2E" w:rsidP="00851C2E">
      <w:r>
        <w:t>Jak částice vznikla:</w:t>
      </w:r>
    </w:p>
    <w:p w:rsidR="00851C2E" w:rsidRDefault="00851C2E" w:rsidP="00851C2E"/>
    <w:p w:rsidR="00851C2E" w:rsidRDefault="00851C2E" w:rsidP="00851C2E">
      <w:r>
        <w:rPr>
          <w:noProof/>
        </w:rPr>
        <w:object w:dxaOrig="1440" w:dyaOrig="1440">
          <v:shape id="_x0000_s1028" type="#_x0000_t75" style="position:absolute;margin-left:102.7pt;margin-top:7.6pt;width:177.1pt;height:30.75pt;z-index:251658752">
            <v:imagedata r:id="rId9" o:title=""/>
          </v:shape>
          <o:OLEObject Type="Embed" ProgID="Equation.3" ShapeID="_x0000_s1028" DrawAspect="Content" ObjectID="_1770019963" r:id="rId10"/>
        </w:object>
      </w:r>
    </w:p>
    <w:p w:rsidR="00851C2E" w:rsidRDefault="00851C2E" w:rsidP="00851C2E">
      <w:r>
        <w:t xml:space="preserve">Doplň rovnici: </w:t>
      </w:r>
    </w:p>
    <w:p w:rsidR="00851C2E" w:rsidRDefault="00851C2E" w:rsidP="00851C2E"/>
    <w:p w:rsidR="00851C2E" w:rsidRDefault="00851C2E" w:rsidP="00851C2E"/>
    <w:p w:rsidR="00851C2E" w:rsidRDefault="00851C2E" w:rsidP="00851C2E">
      <w:r>
        <w:t>5) Při záření γ vyletuje z jádra:</w:t>
      </w:r>
    </w:p>
    <w:p w:rsidR="00851C2E" w:rsidRDefault="00851C2E" w:rsidP="00B0121B">
      <w:pPr>
        <w:spacing w:after="120"/>
        <w:rPr>
          <w:color w:val="000000"/>
          <w:szCs w:val="20"/>
        </w:rPr>
      </w:pPr>
    </w:p>
    <w:p w:rsidR="00B0121B" w:rsidRDefault="00851C2E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>6</w:t>
      </w:r>
      <w:r w:rsidR="00EC44FB">
        <w:rPr>
          <w:color w:val="000000"/>
          <w:szCs w:val="20"/>
        </w:rPr>
        <w:t xml:space="preserve">) </w:t>
      </w:r>
      <w:r w:rsidR="00B0121B">
        <w:rPr>
          <w:color w:val="000000"/>
          <w:szCs w:val="20"/>
        </w:rPr>
        <w:t>Doplň zdroje ozáření</w:t>
      </w:r>
    </w:p>
    <w:p w:rsidR="00851C2E" w:rsidRDefault="008E2FD9" w:rsidP="00B0121B">
      <w:pPr>
        <w:spacing w:after="120"/>
        <w:rPr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140970</wp:posOffset>
            </wp:positionV>
            <wp:extent cx="4581525" cy="2752725"/>
            <wp:effectExtent l="0" t="0" r="0" b="0"/>
            <wp:wrapSquare wrapText="bothSides"/>
            <wp:docPr id="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1B" w:rsidRDefault="00B0121B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>1.</w:t>
      </w:r>
    </w:p>
    <w:p w:rsidR="00B0121B" w:rsidRDefault="00B0121B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>2.</w:t>
      </w:r>
    </w:p>
    <w:p w:rsidR="00B0121B" w:rsidRDefault="00B0121B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>3.</w:t>
      </w:r>
    </w:p>
    <w:p w:rsidR="00B0121B" w:rsidRDefault="00B0121B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>4.</w:t>
      </w:r>
    </w:p>
    <w:p w:rsidR="00B0121B" w:rsidRDefault="00B0121B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>5. Medicína</w:t>
      </w:r>
    </w:p>
    <w:p w:rsidR="00362FCF" w:rsidRDefault="00B0121B" w:rsidP="00B0121B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>6. Ostatní</w:t>
      </w:r>
      <w:r w:rsidR="007875CA">
        <w:rPr>
          <w:color w:val="000000"/>
          <w:szCs w:val="20"/>
        </w:rPr>
        <w:tab/>
      </w:r>
    </w:p>
    <w:p w:rsidR="00362FCF" w:rsidRDefault="00362FCF" w:rsidP="00362FCF">
      <w:pPr>
        <w:rPr>
          <w:color w:val="000000"/>
          <w:szCs w:val="20"/>
        </w:rPr>
      </w:pPr>
    </w:p>
    <w:p w:rsidR="00B0121B" w:rsidRDefault="00B0121B" w:rsidP="00362FCF">
      <w:pPr>
        <w:rPr>
          <w:color w:val="000000"/>
          <w:szCs w:val="20"/>
        </w:rPr>
      </w:pPr>
    </w:p>
    <w:p w:rsidR="00B0121B" w:rsidRDefault="00B0121B" w:rsidP="00362FCF">
      <w:pPr>
        <w:rPr>
          <w:color w:val="000000"/>
          <w:szCs w:val="20"/>
        </w:rPr>
      </w:pPr>
    </w:p>
    <w:p w:rsidR="00B0121B" w:rsidRDefault="00B0121B" w:rsidP="00362FCF">
      <w:pPr>
        <w:rPr>
          <w:color w:val="000000"/>
          <w:szCs w:val="20"/>
        </w:rPr>
      </w:pPr>
    </w:p>
    <w:p w:rsidR="00B0121B" w:rsidRDefault="00B0121B" w:rsidP="00362FCF">
      <w:pPr>
        <w:rPr>
          <w:color w:val="000000"/>
          <w:szCs w:val="20"/>
        </w:rPr>
      </w:pPr>
    </w:p>
    <w:p w:rsidR="00B0121B" w:rsidRDefault="00B0121B" w:rsidP="00362FCF">
      <w:pPr>
        <w:rPr>
          <w:color w:val="000000"/>
          <w:szCs w:val="20"/>
        </w:rPr>
      </w:pPr>
    </w:p>
    <w:p w:rsidR="00851C2E" w:rsidRDefault="00851C2E" w:rsidP="00362FCF">
      <w:pPr>
        <w:rPr>
          <w:color w:val="000000"/>
          <w:szCs w:val="20"/>
        </w:rPr>
      </w:pPr>
    </w:p>
    <w:p w:rsidR="00B0121B" w:rsidRDefault="00B0121B" w:rsidP="00362FCF">
      <w:pPr>
        <w:rPr>
          <w:color w:val="000000"/>
          <w:szCs w:val="20"/>
        </w:rPr>
      </w:pPr>
      <w:r>
        <w:rPr>
          <w:color w:val="000000"/>
          <w:szCs w:val="20"/>
        </w:rPr>
        <w:t>4) Které z těchto zdrojů (1-4) nenaměříme:</w:t>
      </w:r>
    </w:p>
    <w:p w:rsidR="00851C2E" w:rsidRDefault="00851C2E" w:rsidP="00362FCF">
      <w:pPr>
        <w:rPr>
          <w:color w:val="000000"/>
          <w:szCs w:val="20"/>
        </w:rPr>
      </w:pPr>
    </w:p>
    <w:p w:rsidR="00362FCF" w:rsidRDefault="00362FCF" w:rsidP="00362FC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B0121B" w:rsidRDefault="00B0121B" w:rsidP="00B01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B0121B" w:rsidRDefault="00B0121B" w:rsidP="00B0121B">
      <w:pPr>
        <w:numPr>
          <w:ilvl w:val="0"/>
          <w:numId w:val="2"/>
        </w:numPr>
        <w:spacing w:after="120"/>
        <w:rPr>
          <w:szCs w:val="22"/>
        </w:rPr>
      </w:pPr>
      <w:r>
        <w:t>K počítači připojíme rozhraní LabQues a detektor záření. Spustíme program Logger Lite.</w:t>
      </w:r>
    </w:p>
    <w:p w:rsidR="00B0121B" w:rsidRDefault="00B0121B" w:rsidP="00B0121B">
      <w:pPr>
        <w:numPr>
          <w:ilvl w:val="0"/>
          <w:numId w:val="2"/>
        </w:numPr>
        <w:spacing w:after="120"/>
      </w:pPr>
      <w:r>
        <w:t>Nastavíme Experiment/Sběr dat parametry: doba trvání 600 s, 10 s/vzorek. V nastavení grafu nastavíme Histogram.</w:t>
      </w:r>
    </w:p>
    <w:p w:rsidR="00B0121B" w:rsidRDefault="00B0121B" w:rsidP="00B0121B">
      <w:pPr>
        <w:numPr>
          <w:ilvl w:val="0"/>
          <w:numId w:val="2"/>
        </w:numPr>
        <w:spacing w:after="120"/>
      </w:pPr>
      <w:r>
        <w:t>Detektor umístíme mimo dosah radioaktivních vzorků. Spustíme měření. Po ukončení překopírujeme graf do protokolu a data do programu Excel.</w:t>
      </w:r>
    </w:p>
    <w:p w:rsidR="00484C47" w:rsidRDefault="00B0121B" w:rsidP="00B0121B">
      <w:pPr>
        <w:numPr>
          <w:ilvl w:val="0"/>
          <w:numId w:val="2"/>
        </w:numPr>
        <w:spacing w:after="120"/>
      </w:pPr>
      <w:r>
        <w:t>V Excelu ses</w:t>
      </w:r>
      <w:r w:rsidR="00484C47">
        <w:t>tavíme tabulku četností impulsů a</w:t>
      </w:r>
      <w:r>
        <w:t xml:space="preserve"> sloupcový </w:t>
      </w:r>
      <w:r w:rsidR="00484C47">
        <w:t>graf četností. Graf a tabulku překopírujeme do protokolu.</w:t>
      </w:r>
    </w:p>
    <w:p w:rsidR="00B0121B" w:rsidRDefault="00484C47" w:rsidP="00B0121B">
      <w:pPr>
        <w:numPr>
          <w:ilvl w:val="0"/>
          <w:numId w:val="2"/>
        </w:numPr>
        <w:spacing w:after="120"/>
      </w:pPr>
      <w:r>
        <w:t>S</w:t>
      </w:r>
      <w:r w:rsidR="00B0121B">
        <w:t>počítáme střední</w:t>
      </w:r>
      <w:r>
        <w:t xml:space="preserve"> hodnotu a směrodatnou odchylku a zapíšeme je do protokolu.</w:t>
      </w:r>
      <w:r w:rsidR="00B0121B">
        <w:t xml:space="preserve"> Sestro</w:t>
      </w:r>
      <w:r>
        <w:t xml:space="preserve">jíme graf normálního rozložení a </w:t>
      </w:r>
      <w:r w:rsidR="00B0121B">
        <w:t xml:space="preserve">překopírujeme </w:t>
      </w:r>
      <w:r>
        <w:t xml:space="preserve">ho </w:t>
      </w:r>
      <w:r w:rsidR="00B0121B">
        <w:t xml:space="preserve">do protokolu. </w:t>
      </w:r>
    </w:p>
    <w:p w:rsidR="00484C47" w:rsidRDefault="00484C47" w:rsidP="00B0121B">
      <w:pPr>
        <w:numPr>
          <w:ilvl w:val="0"/>
          <w:numId w:val="2"/>
        </w:numPr>
        <w:spacing w:after="120"/>
      </w:pPr>
      <w:r>
        <w:t>Zapíšeme do protokolu naměřenou ekvivalentní dávky v µSv/h a mSv/rok</w:t>
      </w:r>
    </w:p>
    <w:p w:rsidR="00B0121B" w:rsidRPr="00484C47" w:rsidRDefault="00B0121B" w:rsidP="00484C47">
      <w:pPr>
        <w:spacing w:after="120"/>
      </w:pPr>
      <w:r w:rsidRPr="00484C47">
        <w:rPr>
          <w:b/>
          <w:i/>
          <w:sz w:val="32"/>
          <w:szCs w:val="32"/>
        </w:rPr>
        <w:t>Protokol:</w:t>
      </w:r>
    </w:p>
    <w:p w:rsidR="00B0121B" w:rsidRDefault="00484C47" w:rsidP="00B0121B">
      <w:pPr>
        <w:pStyle w:val="vodnstrana-tabulka"/>
        <w:spacing w:before="0" w:after="0"/>
        <w:rPr>
          <w:b/>
        </w:rPr>
      </w:pPr>
      <w:r>
        <w:rPr>
          <w:b/>
        </w:rPr>
        <w:t>1) Ekvivalentní dávka:</w:t>
      </w:r>
    </w:p>
    <w:p w:rsidR="00484C47" w:rsidRDefault="00484C47" w:rsidP="00B0121B">
      <w:pPr>
        <w:pStyle w:val="vodnstrana-tabulka"/>
        <w:spacing w:before="0" w:after="0"/>
        <w:rPr>
          <w:b/>
        </w:rPr>
      </w:pPr>
    </w:p>
    <w:p w:rsidR="00484C47" w:rsidRDefault="00484C47" w:rsidP="00B0121B">
      <w:pPr>
        <w:pStyle w:val="vodnstrana-tabulka"/>
        <w:spacing w:before="0" w:after="0"/>
        <w:rPr>
          <w:b/>
        </w:rPr>
      </w:pPr>
      <w:r>
        <w:rPr>
          <w:b/>
        </w:rPr>
        <w:t>2) Histogram naměřených hodnot:</w:t>
      </w:r>
    </w:p>
    <w:p w:rsidR="00484C47" w:rsidRDefault="00484C47" w:rsidP="00B0121B">
      <w:pPr>
        <w:pStyle w:val="vodnstrana-tabulka"/>
        <w:spacing w:before="0" w:after="0"/>
        <w:rPr>
          <w:b/>
        </w:rPr>
      </w:pPr>
    </w:p>
    <w:p w:rsidR="00484C47" w:rsidRDefault="00484C47" w:rsidP="00B0121B">
      <w:pPr>
        <w:pStyle w:val="vodnstrana-tabulka"/>
        <w:spacing w:before="0" w:after="0"/>
        <w:rPr>
          <w:b/>
        </w:rPr>
      </w:pPr>
      <w:r>
        <w:rPr>
          <w:b/>
        </w:rPr>
        <w:t>3) Tabulka četností a graf:</w:t>
      </w:r>
    </w:p>
    <w:p w:rsidR="00484C47" w:rsidRDefault="00484C47" w:rsidP="00B0121B">
      <w:pPr>
        <w:pStyle w:val="vodnstrana-tabulka"/>
        <w:spacing w:before="0" w:after="0"/>
        <w:rPr>
          <w:b/>
        </w:rPr>
      </w:pPr>
    </w:p>
    <w:p w:rsidR="005615FC" w:rsidRDefault="00484C47" w:rsidP="00B0121B">
      <w:pPr>
        <w:pStyle w:val="vodnstrana-tabulka"/>
        <w:spacing w:before="0" w:after="0"/>
        <w:rPr>
          <w:b/>
        </w:rPr>
      </w:pPr>
      <w:r>
        <w:rPr>
          <w:b/>
        </w:rPr>
        <w:t xml:space="preserve">4) </w:t>
      </w:r>
      <w:r w:rsidR="005615FC">
        <w:rPr>
          <w:b/>
        </w:rPr>
        <w:t>Střední hodnota:</w:t>
      </w:r>
      <w:r w:rsidR="005615FC">
        <w:rPr>
          <w:b/>
        </w:rPr>
        <w:tab/>
      </w:r>
      <w:r w:rsidR="005615FC">
        <w:rPr>
          <w:b/>
        </w:rPr>
        <w:tab/>
      </w:r>
      <w:r w:rsidR="005615FC">
        <w:rPr>
          <w:b/>
        </w:rPr>
        <w:tab/>
      </w:r>
      <w:r w:rsidR="005615FC">
        <w:rPr>
          <w:b/>
        </w:rPr>
        <w:tab/>
      </w:r>
      <w:r w:rsidR="005615FC">
        <w:rPr>
          <w:b/>
        </w:rPr>
        <w:tab/>
      </w:r>
      <w:r w:rsidR="005615FC">
        <w:rPr>
          <w:b/>
        </w:rPr>
        <w:tab/>
        <w:t>Směrodatná odchylka:</w:t>
      </w:r>
    </w:p>
    <w:p w:rsidR="005615FC" w:rsidRDefault="005615FC" w:rsidP="00B0121B">
      <w:pPr>
        <w:pStyle w:val="vodnstrana-tabulka"/>
        <w:spacing w:before="0" w:after="0"/>
        <w:rPr>
          <w:b/>
        </w:rPr>
      </w:pPr>
    </w:p>
    <w:p w:rsidR="00484C47" w:rsidRDefault="005615FC" w:rsidP="00B0121B">
      <w:pPr>
        <w:pStyle w:val="vodnstrana-tabulka"/>
        <w:spacing w:before="0" w:after="0"/>
        <w:rPr>
          <w:b/>
        </w:rPr>
      </w:pPr>
      <w:r>
        <w:rPr>
          <w:b/>
        </w:rPr>
        <w:t>5) Graf normálního rozložení: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4C47" w:rsidRDefault="00484C47" w:rsidP="00B0121B">
      <w:pPr>
        <w:pStyle w:val="vodnstrana-tabulka"/>
        <w:spacing w:before="0" w:after="0"/>
        <w:rPr>
          <w:b/>
        </w:rPr>
      </w:pPr>
    </w:p>
    <w:p w:rsidR="00484C47" w:rsidRDefault="00484C47" w:rsidP="00B0121B">
      <w:pPr>
        <w:pStyle w:val="vodnstrana-tabulka"/>
        <w:spacing w:before="0" w:after="0"/>
        <w:rPr>
          <w:b/>
        </w:rPr>
      </w:pPr>
    </w:p>
    <w:p w:rsidR="00484C47" w:rsidRDefault="00484C47" w:rsidP="00B0121B">
      <w:pPr>
        <w:pStyle w:val="vodnstrana-tabulka"/>
        <w:spacing w:before="0" w:after="0"/>
        <w:rPr>
          <w:b/>
        </w:rPr>
      </w:pPr>
    </w:p>
    <w:p w:rsidR="00B0121B" w:rsidRDefault="00B0121B" w:rsidP="00B0121B">
      <w:pPr>
        <w:pStyle w:val="vodnstrana-tabulka"/>
        <w:spacing w:before="0" w:after="0"/>
        <w:rPr>
          <w:b/>
        </w:rPr>
      </w:pPr>
    </w:p>
    <w:p w:rsidR="00362FCF" w:rsidRDefault="00362FCF" w:rsidP="00362FCF"/>
    <w:p w:rsidR="00362FCF" w:rsidRPr="00362FCF" w:rsidRDefault="00362FCF" w:rsidP="001729DF">
      <w:pPr>
        <w:pStyle w:val="Zkladntextodsazen"/>
        <w:spacing w:after="240"/>
        <w:ind w:firstLine="0"/>
        <w:jc w:val="center"/>
        <w:outlineLvl w:val="0"/>
        <w:rPr>
          <w:b/>
          <w:bCs/>
          <w:color w:val="000000"/>
          <w:szCs w:val="24"/>
        </w:rPr>
      </w:pPr>
    </w:p>
    <w:sectPr w:rsidR="00362FCF" w:rsidRPr="00362FCF" w:rsidSect="00851C2E">
      <w:head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8A" w:rsidRDefault="00DA5F8A" w:rsidP="00A61976">
      <w:r>
        <w:separator/>
      </w:r>
    </w:p>
  </w:endnote>
  <w:endnote w:type="continuationSeparator" w:id="0">
    <w:p w:rsidR="00DA5F8A" w:rsidRDefault="00DA5F8A" w:rsidP="00A6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wworm CE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8A" w:rsidRDefault="00DA5F8A" w:rsidP="00A61976">
      <w:r>
        <w:separator/>
      </w:r>
    </w:p>
  </w:footnote>
  <w:footnote w:type="continuationSeparator" w:id="0">
    <w:p w:rsidR="00DA5F8A" w:rsidRDefault="00DA5F8A" w:rsidP="00A6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30" w:rsidRPr="00A61976" w:rsidRDefault="00264530" w:rsidP="00A61976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5"/>
    <w:rsid w:val="00010958"/>
    <w:rsid w:val="00064230"/>
    <w:rsid w:val="00127562"/>
    <w:rsid w:val="0014542E"/>
    <w:rsid w:val="001729DF"/>
    <w:rsid w:val="001834F6"/>
    <w:rsid w:val="00205771"/>
    <w:rsid w:val="00241F6E"/>
    <w:rsid w:val="00264530"/>
    <w:rsid w:val="002A7E81"/>
    <w:rsid w:val="002B6E6F"/>
    <w:rsid w:val="00322B0D"/>
    <w:rsid w:val="003430C3"/>
    <w:rsid w:val="00362FCF"/>
    <w:rsid w:val="003D0A4C"/>
    <w:rsid w:val="00402766"/>
    <w:rsid w:val="00405909"/>
    <w:rsid w:val="00422A1F"/>
    <w:rsid w:val="00484C47"/>
    <w:rsid w:val="00541A26"/>
    <w:rsid w:val="005615FC"/>
    <w:rsid w:val="005D4929"/>
    <w:rsid w:val="005F2FC7"/>
    <w:rsid w:val="006354C9"/>
    <w:rsid w:val="006665BF"/>
    <w:rsid w:val="0070433F"/>
    <w:rsid w:val="00704DE2"/>
    <w:rsid w:val="007272A8"/>
    <w:rsid w:val="007875CA"/>
    <w:rsid w:val="00792E10"/>
    <w:rsid w:val="007C38C2"/>
    <w:rsid w:val="007C42CA"/>
    <w:rsid w:val="007F0E50"/>
    <w:rsid w:val="00851C2E"/>
    <w:rsid w:val="008718E7"/>
    <w:rsid w:val="008E2FD9"/>
    <w:rsid w:val="009078A2"/>
    <w:rsid w:val="00941874"/>
    <w:rsid w:val="00A04BA5"/>
    <w:rsid w:val="00A10ADA"/>
    <w:rsid w:val="00A51F4F"/>
    <w:rsid w:val="00A573D8"/>
    <w:rsid w:val="00A61976"/>
    <w:rsid w:val="00B0121B"/>
    <w:rsid w:val="00B36157"/>
    <w:rsid w:val="00B532F5"/>
    <w:rsid w:val="00C01530"/>
    <w:rsid w:val="00C1008A"/>
    <w:rsid w:val="00D02A40"/>
    <w:rsid w:val="00DA5F8A"/>
    <w:rsid w:val="00DB2BF9"/>
    <w:rsid w:val="00DC2A99"/>
    <w:rsid w:val="00E010F3"/>
    <w:rsid w:val="00E138CD"/>
    <w:rsid w:val="00E234F9"/>
    <w:rsid w:val="00E66D61"/>
    <w:rsid w:val="00E84FEE"/>
    <w:rsid w:val="00E85D8C"/>
    <w:rsid w:val="00EC44FB"/>
    <w:rsid w:val="00EE7E16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C8240E-426B-43A0-B15E-E8B2483D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010F3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E010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61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1976"/>
    <w:rPr>
      <w:sz w:val="24"/>
      <w:szCs w:val="24"/>
    </w:rPr>
  </w:style>
  <w:style w:type="paragraph" w:styleId="Zpat">
    <w:name w:val="footer"/>
    <w:basedOn w:val="Normln"/>
    <w:link w:val="ZpatChar"/>
    <w:rsid w:val="00A619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61976"/>
    <w:rPr>
      <w:sz w:val="24"/>
      <w:szCs w:val="24"/>
    </w:rPr>
  </w:style>
  <w:style w:type="paragraph" w:styleId="Textbubliny">
    <w:name w:val="Balloon Text"/>
    <w:basedOn w:val="Normln"/>
    <w:link w:val="TextbublinyChar"/>
    <w:rsid w:val="00A6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197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A61976"/>
    <w:pPr>
      <w:spacing w:before="120"/>
      <w:ind w:firstLine="567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rsid w:val="00A61976"/>
    <w:rPr>
      <w:sz w:val="24"/>
    </w:rPr>
  </w:style>
  <w:style w:type="paragraph" w:styleId="Nzev">
    <w:name w:val="Title"/>
    <w:basedOn w:val="Normln"/>
    <w:link w:val="NzevChar"/>
    <w:qFormat/>
    <w:rsid w:val="00A61976"/>
    <w:pPr>
      <w:jc w:val="center"/>
    </w:pPr>
    <w:rPr>
      <w:rFonts w:ascii="Glowworm CE" w:hAnsi="Glowworm CE"/>
      <w:sz w:val="40"/>
      <w:szCs w:val="20"/>
    </w:rPr>
  </w:style>
  <w:style w:type="character" w:customStyle="1" w:styleId="NzevChar">
    <w:name w:val="Název Char"/>
    <w:link w:val="Nzev"/>
    <w:rsid w:val="00A61976"/>
    <w:rPr>
      <w:rFonts w:ascii="Glowworm CE" w:hAnsi="Glowworm CE"/>
      <w:sz w:val="40"/>
    </w:rPr>
  </w:style>
  <w:style w:type="paragraph" w:customStyle="1" w:styleId="vodnstrana-tabulka">
    <w:name w:val="úvodní strana - tabulka"/>
    <w:basedOn w:val="Normln"/>
    <w:uiPriority w:val="99"/>
    <w:qFormat/>
    <w:rsid w:val="00362FCF"/>
    <w:pPr>
      <w:spacing w:before="60" w:after="60"/>
    </w:pPr>
    <w:rPr>
      <w:rFonts w:ascii="Calibri" w:eastAsia="Calibri" w:hAnsi="Calibri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362FCF"/>
    <w:pPr>
      <w:spacing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pple-converted-space">
    <w:name w:val="apple-converted-space"/>
    <w:rsid w:val="0078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setkání metodiků, vedoucích předmětových komisí a pedagogických pracovníků v oblasti přírodovědného a technického vzdělávání – společná pro SŠ a ZŠ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setkání metodiků, vedoucích předmětových komisí a pedagogických pracovníků v oblasti přírodovědného a technického vzdělávání – společná pro SŠ a ZŠ</dc:title>
  <dc:subject/>
  <dc:creator>user</dc:creator>
  <cp:keywords/>
  <cp:lastModifiedBy>Jan Efler</cp:lastModifiedBy>
  <cp:revision>2</cp:revision>
  <cp:lastPrinted>2014-10-26T07:47:00Z</cp:lastPrinted>
  <dcterms:created xsi:type="dcterms:W3CDTF">2024-02-21T10:26:00Z</dcterms:created>
  <dcterms:modified xsi:type="dcterms:W3CDTF">2024-02-21T10:26:00Z</dcterms:modified>
</cp:coreProperties>
</file>